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E441E60" w14:textId="63275595" w:rsidR="00623194" w:rsidRDefault="00623194" w:rsidP="00623194">
      <w:pPr>
        <w:spacing w:before="100" w:beforeAutospacing="1" w:after="100" w:afterAutospacing="1" w:line="240" w:lineRule="auto"/>
        <w:outlineLvl w:val="1"/>
        <w:rPr>
          <w:rFonts w:ascii="Calibri" w:eastAsia="Times New Roman" w:hAnsi="Calibri" w:cs="Calibri"/>
          <w:b/>
          <w:bCs/>
          <w:kern w:val="0"/>
          <w:sz w:val="36"/>
          <w:szCs w:val="36"/>
          <w14:ligatures w14:val="none"/>
        </w:rPr>
      </w:pPr>
      <w:r w:rsidRPr="00931F44">
        <w:rPr>
          <w:rFonts w:ascii="Calibri" w:eastAsia="Times New Roman" w:hAnsi="Calibri" w:cs="Calibri"/>
          <w:b/>
          <w:bCs/>
          <w:kern w:val="0"/>
          <w:sz w:val="36"/>
          <w:szCs w:val="36"/>
          <w14:ligatures w14:val="none"/>
        </w:rPr>
        <w:t>LAWYER BRIEFING SHEET: Representing Rainbow Survivors</w:t>
      </w:r>
    </w:p>
    <w:p w14:paraId="2E1797AA" w14:textId="3E322E6C" w:rsidR="001E6B7B" w:rsidRPr="00BE31F5" w:rsidRDefault="001E6B7B" w:rsidP="001E6B7B">
      <w:r w:rsidRPr="00BE31F5">
        <w:rPr>
          <w:b/>
          <w:bCs/>
        </w:rPr>
        <w:t xml:space="preserve">For use with NZ </w:t>
      </w:r>
      <w:r>
        <w:rPr>
          <w:b/>
          <w:bCs/>
        </w:rPr>
        <w:t>Lawyers</w:t>
      </w:r>
      <w:r w:rsidRPr="00BE31F5">
        <w:rPr>
          <w:b/>
          <w:bCs/>
        </w:rPr>
        <w:t xml:space="preserve"> | Tool by Safe and Sane NZ</w:t>
      </w:r>
    </w:p>
    <w:p w14:paraId="3B68FFC7" w14:textId="77777777" w:rsidR="001E6B7B" w:rsidRPr="00931F44" w:rsidRDefault="001E6B7B" w:rsidP="00623194">
      <w:pPr>
        <w:spacing w:before="100" w:beforeAutospacing="1" w:after="100" w:afterAutospacing="1" w:line="240" w:lineRule="auto"/>
        <w:outlineLvl w:val="1"/>
        <w:rPr>
          <w:rFonts w:ascii="Calibri" w:eastAsia="Times New Roman" w:hAnsi="Calibri" w:cs="Calibri"/>
          <w:b/>
          <w:bCs/>
          <w:kern w:val="0"/>
          <w:sz w:val="36"/>
          <w:szCs w:val="36"/>
          <w14:ligatures w14:val="none"/>
        </w:rPr>
      </w:pPr>
    </w:p>
    <w:p w14:paraId="0E63B31E" w14:textId="77777777" w:rsidR="00E53897" w:rsidRPr="00931F44" w:rsidRDefault="00623194" w:rsidP="00623194">
      <w:p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TO:</w:t>
      </w:r>
      <w:r w:rsidRPr="00931F44">
        <w:rPr>
          <w:rFonts w:ascii="Calibri" w:eastAsia="Times New Roman" w:hAnsi="Calibri" w:cs="Calibri"/>
          <w:kern w:val="0"/>
          <w14:ligatures w14:val="none"/>
        </w:rPr>
        <w:t xml:space="preserve"> Legal Counsel / Solicitor </w:t>
      </w:r>
      <w:r w:rsidRPr="00931F44">
        <w:rPr>
          <w:rFonts w:ascii="Calibri" w:eastAsia="Times New Roman" w:hAnsi="Calibri" w:cs="Calibri"/>
          <w:b/>
          <w:bCs/>
          <w:kern w:val="0"/>
          <w14:ligatures w14:val="none"/>
        </w:rPr>
        <w:t>RE:</w:t>
      </w:r>
      <w:r w:rsidRPr="00931F44">
        <w:rPr>
          <w:rFonts w:ascii="Calibri" w:eastAsia="Times New Roman" w:hAnsi="Calibri" w:cs="Calibri"/>
          <w:kern w:val="0"/>
          <w14:ligatures w14:val="none"/>
        </w:rPr>
        <w:t xml:space="preserve"> Specific Risk Factors and Identity-Based Harm in </w:t>
      </w:r>
    </w:p>
    <w:p w14:paraId="464E493A" w14:textId="5A1DFF4F" w:rsidR="00623194" w:rsidRPr="00931F44" w:rsidRDefault="00623194" w:rsidP="00623194">
      <w:p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kern w:val="0"/>
          <w14:ligatures w14:val="none"/>
        </w:rPr>
        <w:t>Case #</w:t>
      </w:r>
      <w:r w:rsidR="001113CC">
        <w:rPr>
          <w:rFonts w:ascii="Calibri" w:eastAsia="Times New Roman" w:hAnsi="Calibri" w:cs="Calibri"/>
          <w:kern w:val="0"/>
          <w14:ligatures w14:val="none"/>
        </w:rPr>
        <w:t xml:space="preserve"> </w:t>
      </w:r>
      <w:r w:rsidRPr="001113CC">
        <w:rPr>
          <w:rFonts w:ascii="Calibri" w:eastAsia="Times New Roman" w:hAnsi="Calibri" w:cs="Calibri"/>
          <w:color w:val="BFBFBF" w:themeColor="background1" w:themeShade="BF"/>
          <w:kern w:val="0"/>
          <w14:ligatures w14:val="none"/>
        </w:rPr>
        <w:t>[Number]</w:t>
      </w:r>
    </w:p>
    <w:p w14:paraId="445C15C1" w14:textId="77777777" w:rsidR="00623194" w:rsidRPr="00931F44" w:rsidRDefault="00623194" w:rsidP="00623194">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931F44">
        <w:rPr>
          <w:rFonts w:ascii="Calibri" w:eastAsia="Times New Roman" w:hAnsi="Calibri" w:cs="Calibri"/>
          <w:b/>
          <w:bCs/>
          <w:kern w:val="0"/>
          <w:sz w:val="27"/>
          <w:szCs w:val="27"/>
          <w14:ligatures w14:val="none"/>
        </w:rPr>
        <w:t>1. Core Concept: Identity-Based Coercion</w:t>
      </w:r>
    </w:p>
    <w:p w14:paraId="1BBB653B" w14:textId="02E0BB80" w:rsidR="00623194" w:rsidRPr="00931F44" w:rsidRDefault="008E4CFE" w:rsidP="00623194">
      <w:pPr>
        <w:spacing w:before="100" w:beforeAutospacing="1" w:after="100" w:afterAutospacing="1" w:line="240" w:lineRule="auto"/>
        <w:rPr>
          <w:rFonts w:ascii="Calibri" w:eastAsia="Times New Roman" w:hAnsi="Calibri" w:cs="Calibri"/>
          <w:kern w:val="0"/>
          <w14:ligatures w14:val="none"/>
        </w:rPr>
      </w:pPr>
      <w:r w:rsidRPr="00931F44">
        <w:rPr>
          <w:rFonts w:ascii="Calibri" w:hAnsi="Calibri" w:cs="Calibri"/>
          <w:noProof/>
        </w:rPr>
        <w:drawing>
          <wp:anchor distT="0" distB="0" distL="114300" distR="114300" simplePos="0" relativeHeight="251659776" behindDoc="1" locked="0" layoutInCell="1" allowOverlap="1" wp14:anchorId="0D9345C5" wp14:editId="0285C1FF">
            <wp:simplePos x="0" y="0"/>
            <wp:positionH relativeFrom="margin">
              <wp:align>left</wp:align>
            </wp:positionH>
            <wp:positionV relativeFrom="paragraph">
              <wp:posOffset>269240</wp:posOffset>
            </wp:positionV>
            <wp:extent cx="6017260" cy="6017260"/>
            <wp:effectExtent l="0" t="0" r="2540" b="2540"/>
            <wp:wrapNone/>
            <wp:docPr id="78121333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017260" cy="6017260"/>
                    </a:xfrm>
                    <a:prstGeom prst="rect">
                      <a:avLst/>
                    </a:prstGeom>
                    <a:noFill/>
                  </pic:spPr>
                </pic:pic>
              </a:graphicData>
            </a:graphic>
          </wp:anchor>
        </w:drawing>
      </w:r>
      <w:r w:rsidR="00623194" w:rsidRPr="00931F44">
        <w:rPr>
          <w:rFonts w:ascii="Calibri" w:eastAsia="Times New Roman" w:hAnsi="Calibri" w:cs="Calibri"/>
          <w:kern w:val="0"/>
          <w14:ligatures w14:val="none"/>
        </w:rPr>
        <w:t xml:space="preserve">In this case, the respondent is utilizing the survivor’s sexual orientation, gender identity, or health status as a primary tool of </w:t>
      </w:r>
      <w:r w:rsidR="00623194" w:rsidRPr="00931F44">
        <w:rPr>
          <w:rFonts w:ascii="Calibri" w:eastAsia="Times New Roman" w:hAnsi="Calibri" w:cs="Calibri"/>
          <w:b/>
          <w:bCs/>
          <w:kern w:val="0"/>
          <w14:ligatures w14:val="none"/>
        </w:rPr>
        <w:t>Coercive Control</w:t>
      </w:r>
      <w:r w:rsidR="00623194" w:rsidRPr="00931F44">
        <w:rPr>
          <w:rFonts w:ascii="Calibri" w:eastAsia="Times New Roman" w:hAnsi="Calibri" w:cs="Calibri"/>
          <w:kern w:val="0"/>
          <w14:ligatures w14:val="none"/>
        </w:rPr>
        <w:t xml:space="preserve">. Please ensure the following elements are emphasized in the application for a </w:t>
      </w:r>
      <w:r w:rsidR="00623194" w:rsidRPr="00931F44">
        <w:rPr>
          <w:rFonts w:ascii="Calibri" w:eastAsia="Times New Roman" w:hAnsi="Calibri" w:cs="Calibri"/>
          <w:b/>
          <w:bCs/>
          <w:kern w:val="0"/>
          <w14:ligatures w14:val="none"/>
        </w:rPr>
        <w:t>Protection Order</w:t>
      </w:r>
      <w:r w:rsidR="00623194" w:rsidRPr="00931F44">
        <w:rPr>
          <w:rFonts w:ascii="Calibri" w:eastAsia="Times New Roman" w:hAnsi="Calibri" w:cs="Calibri"/>
          <w:kern w:val="0"/>
          <w14:ligatures w14:val="none"/>
        </w:rPr>
        <w:t>:</w:t>
      </w:r>
    </w:p>
    <w:p w14:paraId="7F275349" w14:textId="64884258" w:rsidR="00623194" w:rsidRPr="00931F44" w:rsidRDefault="00623194" w:rsidP="00623194">
      <w:pPr>
        <w:numPr>
          <w:ilvl w:val="0"/>
          <w:numId w:val="7"/>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Weaponized Disclosure ("Outing"):</w:t>
      </w:r>
      <w:r w:rsidRPr="00931F44">
        <w:rPr>
          <w:rFonts w:ascii="Calibri" w:eastAsia="Times New Roman" w:hAnsi="Calibri" w:cs="Calibri"/>
          <w:kern w:val="0"/>
          <w14:ligatures w14:val="none"/>
        </w:rPr>
        <w:t xml:space="preserve"> This should be framed as a threat of social and economic sabotage. In the NZ Family Court, threats to reveal private information to employers or unsupportive whānau constitute </w:t>
      </w:r>
      <w:r w:rsidRPr="00931F44">
        <w:rPr>
          <w:rFonts w:ascii="Calibri" w:eastAsia="Times New Roman" w:hAnsi="Calibri" w:cs="Calibri"/>
          <w:b/>
          <w:bCs/>
          <w:kern w:val="0"/>
          <w14:ligatures w14:val="none"/>
        </w:rPr>
        <w:t>Psychological Abuse</w:t>
      </w:r>
      <w:r w:rsidRPr="00931F44">
        <w:rPr>
          <w:rFonts w:ascii="Calibri" w:eastAsia="Times New Roman" w:hAnsi="Calibri" w:cs="Calibri"/>
          <w:kern w:val="0"/>
          <w14:ligatures w14:val="none"/>
        </w:rPr>
        <w:t>.</w:t>
      </w:r>
    </w:p>
    <w:p w14:paraId="22B302F8" w14:textId="145458D6" w:rsidR="00623194" w:rsidRPr="00931F44" w:rsidRDefault="00623194" w:rsidP="00623194">
      <w:pPr>
        <w:numPr>
          <w:ilvl w:val="0"/>
          <w:numId w:val="7"/>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Interference with Healthcare:</w:t>
      </w:r>
      <w:r w:rsidRPr="00931F44">
        <w:rPr>
          <w:rFonts w:ascii="Calibri" w:eastAsia="Times New Roman" w:hAnsi="Calibri" w:cs="Calibri"/>
          <w:kern w:val="0"/>
          <w14:ligatures w14:val="none"/>
        </w:rPr>
        <w:t xml:space="preserve"> Any withholding or destruction of gender-affirming hormones, </w:t>
      </w:r>
      <w:proofErr w:type="spellStart"/>
      <w:r w:rsidRPr="00931F44">
        <w:rPr>
          <w:rFonts w:ascii="Calibri" w:eastAsia="Times New Roman" w:hAnsi="Calibri" w:cs="Calibri"/>
          <w:kern w:val="0"/>
          <w14:ligatures w14:val="none"/>
        </w:rPr>
        <w:t>PrEP</w:t>
      </w:r>
      <w:proofErr w:type="spellEnd"/>
      <w:r w:rsidRPr="00931F44">
        <w:rPr>
          <w:rFonts w:ascii="Calibri" w:eastAsia="Times New Roman" w:hAnsi="Calibri" w:cs="Calibri"/>
          <w:kern w:val="0"/>
          <w14:ligatures w14:val="none"/>
        </w:rPr>
        <w:t xml:space="preserve">, or HIV medication should be framed as </w:t>
      </w:r>
      <w:r w:rsidRPr="00931F44">
        <w:rPr>
          <w:rFonts w:ascii="Calibri" w:eastAsia="Times New Roman" w:hAnsi="Calibri" w:cs="Calibri"/>
          <w:b/>
          <w:bCs/>
          <w:kern w:val="0"/>
          <w14:ligatures w14:val="none"/>
        </w:rPr>
        <w:t>Physical Abuse</w:t>
      </w:r>
      <w:r w:rsidRPr="00931F44">
        <w:rPr>
          <w:rFonts w:ascii="Calibri" w:eastAsia="Times New Roman" w:hAnsi="Calibri" w:cs="Calibri"/>
          <w:kern w:val="0"/>
          <w14:ligatures w14:val="none"/>
        </w:rPr>
        <w:t xml:space="preserve"> and a violation of the survivor's bodily autonomy.</w:t>
      </w:r>
    </w:p>
    <w:p w14:paraId="4885A9DA" w14:textId="2BD89BE5" w:rsidR="00623194" w:rsidRPr="00931F44" w:rsidRDefault="00623194" w:rsidP="00623194">
      <w:pPr>
        <w:numPr>
          <w:ilvl w:val="0"/>
          <w:numId w:val="7"/>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Identity Erasure:</w:t>
      </w:r>
      <w:r w:rsidRPr="00931F44">
        <w:rPr>
          <w:rFonts w:ascii="Calibri" w:eastAsia="Times New Roman" w:hAnsi="Calibri" w:cs="Calibri"/>
          <w:kern w:val="0"/>
          <w14:ligatures w14:val="none"/>
        </w:rPr>
        <w:t xml:space="preserve"> Intentional deadnaming or misgendering is not merely "rudeness"; it is a tactical stripping of the survivor’s identity designed to cause psychological collapse.</w:t>
      </w:r>
    </w:p>
    <w:p w14:paraId="4AD1EE28" w14:textId="367322F8" w:rsidR="00623194" w:rsidRPr="00931F44" w:rsidRDefault="00623194" w:rsidP="00623194">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931F44">
        <w:rPr>
          <w:rFonts w:ascii="Calibri" w:eastAsia="Times New Roman" w:hAnsi="Calibri" w:cs="Calibri"/>
          <w:b/>
          <w:bCs/>
          <w:kern w:val="0"/>
          <w:sz w:val="27"/>
          <w:szCs w:val="27"/>
          <w14:ligatures w14:val="none"/>
        </w:rPr>
        <w:t>2. Challenging "Mutual Conflict" Myths</w:t>
      </w:r>
    </w:p>
    <w:p w14:paraId="72AA45D3" w14:textId="77777777" w:rsidR="00623194" w:rsidRPr="00931F44" w:rsidRDefault="00623194" w:rsidP="00623194">
      <w:p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kern w:val="0"/>
          <w14:ligatures w14:val="none"/>
        </w:rPr>
        <w:t xml:space="preserve">In Rainbow relationships, there is often a misconception that "both parties are just fighting." Please argue against this by highlighting the </w:t>
      </w:r>
      <w:r w:rsidRPr="00931F44">
        <w:rPr>
          <w:rFonts w:ascii="Calibri" w:eastAsia="Times New Roman" w:hAnsi="Calibri" w:cs="Calibri"/>
          <w:b/>
          <w:bCs/>
          <w:kern w:val="0"/>
          <w14:ligatures w14:val="none"/>
        </w:rPr>
        <w:t>Power Imbalance</w:t>
      </w:r>
      <w:r w:rsidRPr="00931F44">
        <w:rPr>
          <w:rFonts w:ascii="Calibri" w:eastAsia="Times New Roman" w:hAnsi="Calibri" w:cs="Calibri"/>
          <w:kern w:val="0"/>
          <w14:ligatures w14:val="none"/>
        </w:rPr>
        <w:t>:</w:t>
      </w:r>
    </w:p>
    <w:p w14:paraId="0945B2EE" w14:textId="77777777" w:rsidR="00623194" w:rsidRPr="00931F44" w:rsidRDefault="00623194" w:rsidP="00623194">
      <w:pPr>
        <w:numPr>
          <w:ilvl w:val="0"/>
          <w:numId w:val="8"/>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kern w:val="0"/>
          <w14:ligatures w14:val="none"/>
        </w:rPr>
        <w:t>Does one party have a "higher" social standing (e.g., more "out," more community influence, or better financial status)?</w:t>
      </w:r>
    </w:p>
    <w:p w14:paraId="51EE10ED" w14:textId="77777777" w:rsidR="00623194" w:rsidRPr="00931F44" w:rsidRDefault="00623194" w:rsidP="00623194">
      <w:pPr>
        <w:numPr>
          <w:ilvl w:val="0"/>
          <w:numId w:val="8"/>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kern w:val="0"/>
          <w14:ligatures w14:val="none"/>
        </w:rPr>
        <w:t>Is the respondent using the survivor’s fear of "mainstream" systems (Police/Court) to maintain silence?</w:t>
      </w:r>
    </w:p>
    <w:p w14:paraId="350C4457" w14:textId="77777777" w:rsidR="00623194" w:rsidRPr="00931F44" w:rsidRDefault="00623194" w:rsidP="00623194">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931F44">
        <w:rPr>
          <w:rFonts w:ascii="Calibri" w:eastAsia="Times New Roman" w:hAnsi="Calibri" w:cs="Calibri"/>
          <w:b/>
          <w:bCs/>
          <w:kern w:val="0"/>
          <w:sz w:val="27"/>
          <w:szCs w:val="27"/>
          <w14:ligatures w14:val="none"/>
        </w:rPr>
        <w:t>3. Safe Communication Protocols</w:t>
      </w:r>
    </w:p>
    <w:p w14:paraId="32A69B31" w14:textId="77777777" w:rsidR="00623194" w:rsidRPr="00931F44" w:rsidRDefault="00623194" w:rsidP="00623194">
      <w:p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kern w:val="0"/>
          <w14:ligatures w14:val="none"/>
        </w:rPr>
        <w:t>Due to the high risk of digital stalking:</w:t>
      </w:r>
    </w:p>
    <w:p w14:paraId="3C9C7B9F" w14:textId="77777777" w:rsidR="00623194" w:rsidRPr="00931F44" w:rsidRDefault="00623194" w:rsidP="00623194">
      <w:pPr>
        <w:numPr>
          <w:ilvl w:val="0"/>
          <w:numId w:val="9"/>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Do not</w:t>
      </w:r>
      <w:r w:rsidRPr="00931F44">
        <w:rPr>
          <w:rFonts w:ascii="Calibri" w:eastAsia="Times New Roman" w:hAnsi="Calibri" w:cs="Calibri"/>
          <w:kern w:val="0"/>
          <w14:ligatures w14:val="none"/>
        </w:rPr>
        <w:t xml:space="preserve"> mail physical documents to the home address unless explicitly cleared.</w:t>
      </w:r>
    </w:p>
    <w:p w14:paraId="5A3F4DEA" w14:textId="77777777" w:rsidR="00623194" w:rsidRPr="00931F44" w:rsidRDefault="00623194" w:rsidP="00623194">
      <w:pPr>
        <w:numPr>
          <w:ilvl w:val="0"/>
          <w:numId w:val="9"/>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Use</w:t>
      </w:r>
      <w:r w:rsidRPr="00931F44">
        <w:rPr>
          <w:rFonts w:ascii="Calibri" w:eastAsia="Times New Roman" w:hAnsi="Calibri" w:cs="Calibri"/>
          <w:kern w:val="0"/>
          <w14:ligatures w14:val="none"/>
        </w:rPr>
        <w:t xml:space="preserve"> the survivor's preferred name and pronouns in all correspondence and court appearances, as misgendering by counsel can cause re-traumatization.</w:t>
      </w:r>
    </w:p>
    <w:p w14:paraId="499CEAF7" w14:textId="77777777" w:rsidR="00623194" w:rsidRPr="00931F44" w:rsidRDefault="00623194" w:rsidP="00623194">
      <w:pPr>
        <w:numPr>
          <w:ilvl w:val="0"/>
          <w:numId w:val="9"/>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lastRenderedPageBreak/>
        <w:t>Ensure</w:t>
      </w:r>
      <w:r w:rsidRPr="00931F44">
        <w:rPr>
          <w:rFonts w:ascii="Calibri" w:eastAsia="Times New Roman" w:hAnsi="Calibri" w:cs="Calibri"/>
          <w:kern w:val="0"/>
          <w14:ligatures w14:val="none"/>
        </w:rPr>
        <w:t xml:space="preserve"> any mention of HIV status or transition history is only included if it is directly relevant to the safety risk, to maintain the survivor's privacy under the </w:t>
      </w:r>
      <w:r w:rsidRPr="00931F44">
        <w:rPr>
          <w:rFonts w:ascii="Calibri" w:eastAsia="Times New Roman" w:hAnsi="Calibri" w:cs="Calibri"/>
          <w:b/>
          <w:bCs/>
          <w:kern w:val="0"/>
          <w14:ligatures w14:val="none"/>
        </w:rPr>
        <w:t>Privacy Act 2020</w:t>
      </w:r>
      <w:r w:rsidRPr="00931F44">
        <w:rPr>
          <w:rFonts w:ascii="Calibri" w:eastAsia="Times New Roman" w:hAnsi="Calibri" w:cs="Calibri"/>
          <w:kern w:val="0"/>
          <w14:ligatures w14:val="none"/>
        </w:rPr>
        <w:t>.</w:t>
      </w:r>
    </w:p>
    <w:p w14:paraId="23EEE138" w14:textId="77777777" w:rsidR="00623194" w:rsidRPr="00931F44" w:rsidRDefault="00623194" w:rsidP="00623194">
      <w:pPr>
        <w:spacing w:before="100" w:beforeAutospacing="1" w:after="100" w:afterAutospacing="1" w:line="240" w:lineRule="auto"/>
        <w:outlineLvl w:val="2"/>
        <w:rPr>
          <w:rFonts w:ascii="Calibri" w:eastAsia="Times New Roman" w:hAnsi="Calibri" w:cs="Calibri"/>
          <w:b/>
          <w:bCs/>
          <w:kern w:val="0"/>
          <w:sz w:val="27"/>
          <w:szCs w:val="27"/>
          <w14:ligatures w14:val="none"/>
        </w:rPr>
      </w:pPr>
      <w:r w:rsidRPr="00931F44">
        <w:rPr>
          <w:rFonts w:ascii="Calibri" w:eastAsia="Times New Roman" w:hAnsi="Calibri" w:cs="Calibri"/>
          <w:b/>
          <w:bCs/>
          <w:kern w:val="0"/>
          <w:sz w:val="27"/>
          <w:szCs w:val="27"/>
          <w14:ligatures w14:val="none"/>
        </w:rPr>
        <w:t>4. Relevant NZ Case Law/Legislation to Cite</w:t>
      </w:r>
    </w:p>
    <w:p w14:paraId="1E42F2DE" w14:textId="77777777" w:rsidR="00623194" w:rsidRPr="00931F44" w:rsidRDefault="00623194" w:rsidP="00623194">
      <w:pPr>
        <w:numPr>
          <w:ilvl w:val="0"/>
          <w:numId w:val="10"/>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Family Violence Act 2018 (Section 11):</w:t>
      </w:r>
      <w:r w:rsidRPr="00931F44">
        <w:rPr>
          <w:rFonts w:ascii="Calibri" w:eastAsia="Times New Roman" w:hAnsi="Calibri" w:cs="Calibri"/>
          <w:kern w:val="0"/>
          <w14:ligatures w14:val="none"/>
        </w:rPr>
        <w:t xml:space="preserve"> Explicitly defines psychological abuse, including threats to disclose private information.</w:t>
      </w:r>
    </w:p>
    <w:p w14:paraId="096BFA1B" w14:textId="77777777" w:rsidR="00623194" w:rsidRPr="00931F44" w:rsidRDefault="00623194" w:rsidP="00623194">
      <w:pPr>
        <w:numPr>
          <w:ilvl w:val="0"/>
          <w:numId w:val="10"/>
        </w:num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b/>
          <w:bCs/>
          <w:kern w:val="0"/>
          <w14:ligatures w14:val="none"/>
        </w:rPr>
        <w:t>Human Rights Act 1993:</w:t>
      </w:r>
      <w:r w:rsidRPr="00931F44">
        <w:rPr>
          <w:rFonts w:ascii="Calibri" w:eastAsia="Times New Roman" w:hAnsi="Calibri" w:cs="Calibri"/>
          <w:kern w:val="0"/>
          <w14:ligatures w14:val="none"/>
        </w:rPr>
        <w:t xml:space="preserve"> Regarding the protection against discrimination based on sex (which includes gender identity and sexual orientation).</w:t>
      </w:r>
    </w:p>
    <w:p w14:paraId="0E668DEA" w14:textId="77777777" w:rsidR="00623194" w:rsidRPr="00931F44" w:rsidRDefault="00000000" w:rsidP="00623194">
      <w:pPr>
        <w:spacing w:after="0" w:line="240" w:lineRule="auto"/>
        <w:rPr>
          <w:rFonts w:ascii="Calibri" w:eastAsia="Times New Roman" w:hAnsi="Calibri" w:cs="Calibri"/>
          <w:kern w:val="0"/>
          <w14:ligatures w14:val="none"/>
        </w:rPr>
      </w:pPr>
      <w:r>
        <w:rPr>
          <w:rFonts w:ascii="Calibri" w:eastAsia="Times New Roman" w:hAnsi="Calibri" w:cs="Calibri"/>
          <w:kern w:val="0"/>
          <w14:ligatures w14:val="none"/>
        </w:rPr>
        <w:pict w14:anchorId="148931B1">
          <v:rect id="_x0000_i1025" style="width:0;height:1.5pt" o:hralign="center" o:hrstd="t" o:hr="t" fillcolor="#a0a0a0" stroked="f"/>
        </w:pict>
      </w:r>
    </w:p>
    <w:p w14:paraId="0F5F1504" w14:textId="35C19368" w:rsidR="00623194" w:rsidRPr="00931F44" w:rsidRDefault="008E4CFE" w:rsidP="00623194">
      <w:pPr>
        <w:spacing w:before="100" w:beforeAutospacing="1" w:after="100" w:afterAutospacing="1" w:line="240" w:lineRule="auto"/>
        <w:outlineLvl w:val="1"/>
        <w:rPr>
          <w:rFonts w:ascii="Calibri" w:eastAsia="Times New Roman" w:hAnsi="Calibri" w:cs="Calibri"/>
          <w:b/>
          <w:bCs/>
          <w:kern w:val="0"/>
          <w:sz w:val="36"/>
          <w:szCs w:val="36"/>
          <w14:ligatures w14:val="none"/>
        </w:rPr>
      </w:pPr>
      <w:r w:rsidRPr="00931F44">
        <w:rPr>
          <w:rFonts w:ascii="Calibri" w:hAnsi="Calibri" w:cs="Calibri"/>
          <w:noProof/>
        </w:rPr>
        <w:drawing>
          <wp:anchor distT="0" distB="0" distL="114300" distR="114300" simplePos="0" relativeHeight="251656704" behindDoc="1" locked="0" layoutInCell="1" allowOverlap="1" wp14:anchorId="3E9BCEC6" wp14:editId="597C6F02">
            <wp:simplePos x="0" y="0"/>
            <wp:positionH relativeFrom="margin">
              <wp:posOffset>-266700</wp:posOffset>
            </wp:positionH>
            <wp:positionV relativeFrom="paragraph">
              <wp:posOffset>418465</wp:posOffset>
            </wp:positionV>
            <wp:extent cx="6019800" cy="6019800"/>
            <wp:effectExtent l="0" t="0" r="0" b="0"/>
            <wp:wrapNone/>
            <wp:docPr id="200861975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067249" name="Picture 146067249"/>
                    <pic:cNvPicPr/>
                  </pic:nvPicPr>
                  <pic:blipFill>
                    <a:blip r:embed="rId6">
                      <a:alphaModFix amt="15000"/>
                      <a:extLst>
                        <a:ext uri="{28A0092B-C50C-407E-A947-70E740481C1C}">
                          <a14:useLocalDpi xmlns:a14="http://schemas.microsoft.com/office/drawing/2010/main" val="0"/>
                        </a:ext>
                      </a:extLst>
                    </a:blip>
                    <a:stretch>
                      <a:fillRect/>
                    </a:stretch>
                  </pic:blipFill>
                  <pic:spPr>
                    <a:xfrm>
                      <a:off x="0" y="0"/>
                      <a:ext cx="6019800" cy="6019800"/>
                    </a:xfrm>
                    <a:prstGeom prst="rect">
                      <a:avLst/>
                    </a:prstGeom>
                  </pic:spPr>
                </pic:pic>
              </a:graphicData>
            </a:graphic>
            <wp14:sizeRelH relativeFrom="margin">
              <wp14:pctWidth>0</wp14:pctWidth>
            </wp14:sizeRelH>
            <wp14:sizeRelV relativeFrom="margin">
              <wp14:pctHeight>0</wp14:pctHeight>
            </wp14:sizeRelV>
          </wp:anchor>
        </w:drawing>
      </w:r>
      <w:r w:rsidR="00623194" w:rsidRPr="00931F44">
        <w:rPr>
          <w:rFonts w:ascii="Calibri" w:eastAsia="Times New Roman" w:hAnsi="Calibri" w:cs="Calibri"/>
          <w:b/>
          <w:bCs/>
          <w:kern w:val="0"/>
          <w:sz w:val="36"/>
          <w:szCs w:val="36"/>
          <w14:ligatures w14:val="none"/>
        </w:rPr>
        <w:t>Founder’s Advice for the Survivor</w:t>
      </w:r>
    </w:p>
    <w:p w14:paraId="4DB5E71C" w14:textId="4B337C4E" w:rsidR="00623194" w:rsidRPr="00931F44" w:rsidRDefault="00623194" w:rsidP="00623194">
      <w:pPr>
        <w:spacing w:before="100" w:beforeAutospacing="1" w:after="100" w:afterAutospacing="1" w:line="240" w:lineRule="auto"/>
        <w:rPr>
          <w:rFonts w:ascii="Calibri" w:eastAsia="Times New Roman" w:hAnsi="Calibri" w:cs="Calibri"/>
          <w:kern w:val="0"/>
          <w14:ligatures w14:val="none"/>
        </w:rPr>
      </w:pPr>
      <w:r w:rsidRPr="00931F44">
        <w:rPr>
          <w:rFonts w:ascii="Calibri" w:eastAsia="Times New Roman" w:hAnsi="Calibri" w:cs="Calibri"/>
          <w:i/>
          <w:iCs/>
          <w:kern w:val="0"/>
          <w14:ligatures w14:val="none"/>
        </w:rPr>
        <w:t>"You don't have to be 'the perfect victim' to get protection. If your lawyer doesn't seem to 'get it' regarding your identity, give them this sheet. It's their job to translate your lived experience into the language the judge needs to hear."</w:t>
      </w:r>
    </w:p>
    <w:p w14:paraId="4A55EFD8" w14:textId="74B7EE9A" w:rsidR="00FC56AE" w:rsidRPr="00931F44" w:rsidRDefault="00FC56AE" w:rsidP="00FC56AE">
      <w:pPr>
        <w:rPr>
          <w:rFonts w:ascii="Calibri" w:hAnsi="Calibri" w:cs="Calibri"/>
          <w:i/>
          <w:iCs/>
        </w:rPr>
      </w:pPr>
    </w:p>
    <w:p w14:paraId="5392D003" w14:textId="0CB27866" w:rsidR="00BE31F5" w:rsidRPr="00931F44" w:rsidRDefault="00BE31F5" w:rsidP="00BE31F5">
      <w:pPr>
        <w:rPr>
          <w:rFonts w:ascii="Calibri" w:hAnsi="Calibri" w:cs="Calibri"/>
        </w:rPr>
      </w:pPr>
      <w:r w:rsidRPr="00931F44">
        <w:rPr>
          <w:rFonts w:ascii="Calibri" w:hAnsi="Calibri" w:cs="Calibri"/>
          <w:i/>
          <w:iCs/>
        </w:rPr>
        <w:t>.</w:t>
      </w:r>
    </w:p>
    <w:p w14:paraId="342B7CF2" w14:textId="3BC91C81" w:rsidR="002C2D62" w:rsidRPr="00931F44" w:rsidRDefault="002C2D62">
      <w:pPr>
        <w:rPr>
          <w:rFonts w:ascii="Calibri" w:hAnsi="Calibri" w:cs="Calibri"/>
        </w:rPr>
      </w:pPr>
    </w:p>
    <w:p w14:paraId="59929335" w14:textId="497D8F1F" w:rsidR="002C2D62" w:rsidRPr="00931F44" w:rsidRDefault="002C2D62">
      <w:pPr>
        <w:rPr>
          <w:rFonts w:ascii="Calibri" w:hAnsi="Calibri" w:cs="Calibri"/>
        </w:rPr>
      </w:pPr>
    </w:p>
    <w:p w14:paraId="42FD0A9E" w14:textId="5EC5715B" w:rsidR="002C2D62" w:rsidRPr="00931F44" w:rsidRDefault="002C2D62">
      <w:pPr>
        <w:rPr>
          <w:rFonts w:ascii="Calibri" w:hAnsi="Calibri" w:cs="Calibri"/>
        </w:rPr>
      </w:pPr>
    </w:p>
    <w:p w14:paraId="44202790" w14:textId="7341410B" w:rsidR="002C2D62" w:rsidRPr="00931F44" w:rsidRDefault="002C2D62">
      <w:pPr>
        <w:rPr>
          <w:rFonts w:ascii="Calibri" w:hAnsi="Calibri" w:cs="Calibri"/>
        </w:rPr>
      </w:pPr>
    </w:p>
    <w:p w14:paraId="65D86B77" w14:textId="2B0A79FA" w:rsidR="002C2D62" w:rsidRPr="00931F44" w:rsidRDefault="002C2D62">
      <w:pPr>
        <w:rPr>
          <w:rFonts w:ascii="Calibri" w:hAnsi="Calibri" w:cs="Calibri"/>
        </w:rPr>
      </w:pPr>
    </w:p>
    <w:p w14:paraId="1A6428D0" w14:textId="3DFCE8D5" w:rsidR="002C2D62" w:rsidRPr="00931F44" w:rsidRDefault="002C2D62">
      <w:pPr>
        <w:rPr>
          <w:rFonts w:ascii="Calibri" w:hAnsi="Calibri" w:cs="Calibri"/>
        </w:rPr>
      </w:pPr>
    </w:p>
    <w:p w14:paraId="7EFEBF68" w14:textId="0B9726A7" w:rsidR="002C2D62" w:rsidRPr="00931F44" w:rsidRDefault="002C2D62">
      <w:pPr>
        <w:rPr>
          <w:rFonts w:ascii="Calibri" w:hAnsi="Calibri" w:cs="Calibri"/>
        </w:rPr>
      </w:pPr>
    </w:p>
    <w:p w14:paraId="7A3B8A00" w14:textId="7494D35F" w:rsidR="002C2D62" w:rsidRPr="00931F44" w:rsidRDefault="002C2D62">
      <w:pPr>
        <w:rPr>
          <w:rFonts w:ascii="Calibri" w:hAnsi="Calibri" w:cs="Calibri"/>
        </w:rPr>
      </w:pPr>
    </w:p>
    <w:p w14:paraId="4088D566" w14:textId="17FE7B46" w:rsidR="002C2D62" w:rsidRPr="00931F44" w:rsidRDefault="002C2D62">
      <w:pPr>
        <w:rPr>
          <w:rFonts w:ascii="Calibri" w:hAnsi="Calibri" w:cs="Calibri"/>
        </w:rPr>
      </w:pPr>
    </w:p>
    <w:p w14:paraId="27EEA53A" w14:textId="2D163E25" w:rsidR="002C2D62" w:rsidRPr="00931F44" w:rsidRDefault="002C2D62">
      <w:pPr>
        <w:rPr>
          <w:rFonts w:ascii="Calibri" w:hAnsi="Calibri" w:cs="Calibri"/>
        </w:rPr>
      </w:pPr>
    </w:p>
    <w:sectPr w:rsidR="002C2D62" w:rsidRPr="00931F44">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B140FB"/>
    <w:multiLevelType w:val="multilevel"/>
    <w:tmpl w:val="2996C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4572042"/>
    <w:multiLevelType w:val="multilevel"/>
    <w:tmpl w:val="9B743B9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5AB6BA8"/>
    <w:multiLevelType w:val="multilevel"/>
    <w:tmpl w:val="9E247B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71546EC"/>
    <w:multiLevelType w:val="multilevel"/>
    <w:tmpl w:val="02A60B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D2B4380"/>
    <w:multiLevelType w:val="multilevel"/>
    <w:tmpl w:val="B4DE35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116519E"/>
    <w:multiLevelType w:val="multilevel"/>
    <w:tmpl w:val="DC0AE9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480A7629"/>
    <w:multiLevelType w:val="multilevel"/>
    <w:tmpl w:val="C192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B628C3"/>
    <w:multiLevelType w:val="multilevel"/>
    <w:tmpl w:val="FD2E72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2515D86"/>
    <w:multiLevelType w:val="multilevel"/>
    <w:tmpl w:val="48F8C1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7B605E39"/>
    <w:multiLevelType w:val="multilevel"/>
    <w:tmpl w:val="F39656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983390457">
    <w:abstractNumId w:val="6"/>
  </w:num>
  <w:num w:numId="2" w16cid:durableId="86970151">
    <w:abstractNumId w:val="4"/>
  </w:num>
  <w:num w:numId="3" w16cid:durableId="834762532">
    <w:abstractNumId w:val="0"/>
  </w:num>
  <w:num w:numId="4" w16cid:durableId="1969580582">
    <w:abstractNumId w:val="9"/>
  </w:num>
  <w:num w:numId="5" w16cid:durableId="1759709126">
    <w:abstractNumId w:val="8"/>
  </w:num>
  <w:num w:numId="6" w16cid:durableId="727531725">
    <w:abstractNumId w:val="5"/>
  </w:num>
  <w:num w:numId="7" w16cid:durableId="370807992">
    <w:abstractNumId w:val="7"/>
  </w:num>
  <w:num w:numId="8" w16cid:durableId="660230562">
    <w:abstractNumId w:val="3"/>
  </w:num>
  <w:num w:numId="9" w16cid:durableId="1297417546">
    <w:abstractNumId w:val="1"/>
  </w:num>
  <w:num w:numId="10" w16cid:durableId="141659339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C2D62"/>
    <w:rsid w:val="00074053"/>
    <w:rsid w:val="000C22BD"/>
    <w:rsid w:val="001113CC"/>
    <w:rsid w:val="001E6B7B"/>
    <w:rsid w:val="002C2D62"/>
    <w:rsid w:val="003953DD"/>
    <w:rsid w:val="004F4D79"/>
    <w:rsid w:val="00623194"/>
    <w:rsid w:val="0064652D"/>
    <w:rsid w:val="00674B1A"/>
    <w:rsid w:val="008E4CFE"/>
    <w:rsid w:val="00931F44"/>
    <w:rsid w:val="00A43138"/>
    <w:rsid w:val="00BE31F5"/>
    <w:rsid w:val="00C70E55"/>
    <w:rsid w:val="00CD26BB"/>
    <w:rsid w:val="00DB115B"/>
    <w:rsid w:val="00DE535B"/>
    <w:rsid w:val="00E53897"/>
    <w:rsid w:val="00FC56A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2AFB48"/>
  <w15:chartTrackingRefBased/>
  <w15:docId w15:val="{27223A08-FE1A-4ED8-BF1F-B26CCE10DA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C2D6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C2D6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C2D6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C2D6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C2D6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C2D6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C2D6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C2D6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C2D6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C2D6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C2D6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C2D6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C2D6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C2D6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C2D6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C2D6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C2D6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C2D62"/>
    <w:rPr>
      <w:rFonts w:eastAsiaTheme="majorEastAsia" w:cstheme="majorBidi"/>
      <w:color w:val="272727" w:themeColor="text1" w:themeTint="D8"/>
    </w:rPr>
  </w:style>
  <w:style w:type="paragraph" w:styleId="Title">
    <w:name w:val="Title"/>
    <w:basedOn w:val="Normal"/>
    <w:next w:val="Normal"/>
    <w:link w:val="TitleChar"/>
    <w:uiPriority w:val="10"/>
    <w:qFormat/>
    <w:rsid w:val="002C2D6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C2D6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C2D6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C2D6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C2D62"/>
    <w:pPr>
      <w:spacing w:before="160"/>
      <w:jc w:val="center"/>
    </w:pPr>
    <w:rPr>
      <w:i/>
      <w:iCs/>
      <w:color w:val="404040" w:themeColor="text1" w:themeTint="BF"/>
    </w:rPr>
  </w:style>
  <w:style w:type="character" w:customStyle="1" w:styleId="QuoteChar">
    <w:name w:val="Quote Char"/>
    <w:basedOn w:val="DefaultParagraphFont"/>
    <w:link w:val="Quote"/>
    <w:uiPriority w:val="29"/>
    <w:rsid w:val="002C2D62"/>
    <w:rPr>
      <w:i/>
      <w:iCs/>
      <w:color w:val="404040" w:themeColor="text1" w:themeTint="BF"/>
    </w:rPr>
  </w:style>
  <w:style w:type="paragraph" w:styleId="ListParagraph">
    <w:name w:val="List Paragraph"/>
    <w:basedOn w:val="Normal"/>
    <w:uiPriority w:val="34"/>
    <w:qFormat/>
    <w:rsid w:val="002C2D62"/>
    <w:pPr>
      <w:ind w:left="720"/>
      <w:contextualSpacing/>
    </w:pPr>
  </w:style>
  <w:style w:type="character" w:styleId="IntenseEmphasis">
    <w:name w:val="Intense Emphasis"/>
    <w:basedOn w:val="DefaultParagraphFont"/>
    <w:uiPriority w:val="21"/>
    <w:qFormat/>
    <w:rsid w:val="002C2D62"/>
    <w:rPr>
      <w:i/>
      <w:iCs/>
      <w:color w:val="0F4761" w:themeColor="accent1" w:themeShade="BF"/>
    </w:rPr>
  </w:style>
  <w:style w:type="paragraph" w:styleId="IntenseQuote">
    <w:name w:val="Intense Quote"/>
    <w:basedOn w:val="Normal"/>
    <w:next w:val="Normal"/>
    <w:link w:val="IntenseQuoteChar"/>
    <w:uiPriority w:val="30"/>
    <w:qFormat/>
    <w:rsid w:val="002C2D6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C2D62"/>
    <w:rPr>
      <w:i/>
      <w:iCs/>
      <w:color w:val="0F4761" w:themeColor="accent1" w:themeShade="BF"/>
    </w:rPr>
  </w:style>
  <w:style w:type="character" w:styleId="IntenseReference">
    <w:name w:val="Intense Reference"/>
    <w:basedOn w:val="DefaultParagraphFont"/>
    <w:uiPriority w:val="32"/>
    <w:qFormat/>
    <w:rsid w:val="002C2D62"/>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382</Words>
  <Characters>2235</Characters>
  <Application>Microsoft Office Word</Application>
  <DocSecurity>0</DocSecurity>
  <Lines>51</Lines>
  <Paragraphs>27</Paragraphs>
  <ScaleCrop>false</ScaleCrop>
  <Company/>
  <LinksUpToDate>false</LinksUpToDate>
  <CharactersWithSpaces>2590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lee-anne tatana</dc:creator>
  <cp:keywords/>
  <dc:description/>
  <cp:lastModifiedBy>lee-anne tatana</cp:lastModifiedBy>
  <cp:revision>11</cp:revision>
  <dcterms:created xsi:type="dcterms:W3CDTF">2026-03-11T15:53:00Z</dcterms:created>
  <dcterms:modified xsi:type="dcterms:W3CDTF">2026-03-11T16:13:00Z</dcterms:modified>
</cp:coreProperties>
</file>